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 </w:t>
      </w:r>
      <w:proofErr w:type="gramStart"/>
      <w:r w:rsidRPr="00133645">
        <w:rPr>
          <w:rFonts w:ascii="Arial" w:hAnsi="Arial" w:cs="Arial"/>
        </w:rPr>
        <w:t>für</w:t>
      </w:r>
      <w:proofErr w:type="gramEnd"/>
      <w:r w:rsidRPr="00133645">
        <w:rPr>
          <w:rFonts w:ascii="Arial" w:hAnsi="Arial" w:cs="Arial"/>
        </w:rPr>
        <w:t xml:space="preserve">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</w:t>
      </w:r>
      <w:proofErr w:type="gramEnd"/>
      <w:r w:rsidRPr="00133645">
        <w:rPr>
          <w:rFonts w:ascii="Arial" w:hAnsi="Arial" w:cs="Arial"/>
        </w:rPr>
        <w:t xml:space="preserve">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</w:t>
      </w:r>
      <w:proofErr w:type="gramStart"/>
      <w:r w:rsidRPr="00133645">
        <w:rPr>
          <w:rFonts w:ascii="Arial" w:hAnsi="Arial" w:cs="Arial"/>
        </w:rPr>
        <w:t xml:space="preserve">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</w:t>
      </w:r>
      <w:proofErr w:type="gramEnd"/>
      <w:r w:rsidRPr="00133645">
        <w:rPr>
          <w:rFonts w:ascii="Arial" w:hAnsi="Arial" w:cs="Arial"/>
        </w:rPr>
        <w:t xml:space="preserve">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2. </w:t>
      </w:r>
      <w:proofErr w:type="gramStart"/>
      <w:r w:rsidRPr="00133645">
        <w:rPr>
          <w:rFonts w:ascii="Arial" w:hAnsi="Arial" w:cs="Arial"/>
        </w:rPr>
        <w:t>die</w:t>
      </w:r>
      <w:proofErr w:type="gramEnd"/>
      <w:r w:rsidRPr="00133645">
        <w:rPr>
          <w:rFonts w:ascii="Arial" w:hAnsi="Arial" w:cs="Arial"/>
        </w:rPr>
        <w:t xml:space="preserve">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vorhanden</w:t>
      </w:r>
      <w:proofErr w:type="gramEnd"/>
      <w:r w:rsidRPr="00133645">
        <w:rPr>
          <w:rFonts w:ascii="Arial" w:hAnsi="Arial" w:cs="Arial"/>
        </w:rPr>
        <w:t>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 </w:t>
      </w:r>
      <w:proofErr w:type="gramStart"/>
      <w:r w:rsidRPr="00133645">
        <w:rPr>
          <w:rFonts w:ascii="Arial" w:hAnsi="Arial" w:cs="Arial"/>
        </w:rPr>
        <w:t>das</w:t>
      </w:r>
      <w:proofErr w:type="gramEnd"/>
      <w:r w:rsidRPr="00133645">
        <w:rPr>
          <w:rFonts w:ascii="Arial" w:hAnsi="Arial" w:cs="Arial"/>
        </w:rPr>
        <w:t xml:space="preserve">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9. </w:t>
      </w:r>
      <w:proofErr w:type="gramStart"/>
      <w:r w:rsidRPr="00133645">
        <w:rPr>
          <w:rFonts w:ascii="Arial" w:hAnsi="Arial" w:cs="Arial"/>
        </w:rPr>
        <w:t>entgegen</w:t>
      </w:r>
      <w:proofErr w:type="gramEnd"/>
      <w:r w:rsidRPr="00133645">
        <w:rPr>
          <w:rFonts w:ascii="Arial" w:hAnsi="Arial" w:cs="Arial"/>
        </w:rPr>
        <w:t xml:space="preserve">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1 </w:t>
      </w:r>
      <w:proofErr w:type="gramStart"/>
      <w:r w:rsidRPr="00133645">
        <w:rPr>
          <w:rFonts w:ascii="Arial" w:hAnsi="Arial" w:cs="Arial"/>
          <w:b/>
          <w:bCs/>
        </w:rPr>
        <w:t>Allgemeine Anforderungen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3.1 </w:t>
      </w:r>
      <w:proofErr w:type="gramStart"/>
      <w:r w:rsidRPr="00133645">
        <w:rPr>
          <w:rFonts w:ascii="Arial" w:hAnsi="Arial" w:cs="Arial"/>
        </w:rPr>
        <w:t>Bewegungsfläche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3.2 </w:t>
      </w:r>
      <w:proofErr w:type="gramStart"/>
      <w:r w:rsidRPr="00133645">
        <w:rPr>
          <w:rFonts w:ascii="Arial" w:hAnsi="Arial" w:cs="Arial"/>
        </w:rPr>
        <w:t>Anordnung</w:t>
      </w:r>
      <w:proofErr w:type="gramEnd"/>
      <w:r w:rsidRPr="00133645">
        <w:rPr>
          <w:rFonts w:ascii="Arial" w:hAnsi="Arial" w:cs="Arial"/>
        </w:rPr>
        <w:t xml:space="preserve">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3.3 </w:t>
      </w:r>
      <w:proofErr w:type="gramStart"/>
      <w:r w:rsidRPr="00133645">
        <w:rPr>
          <w:rFonts w:ascii="Arial" w:hAnsi="Arial" w:cs="Arial"/>
        </w:rPr>
        <w:t>Ausstattung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3.5 </w:t>
      </w:r>
      <w:proofErr w:type="gramStart"/>
      <w:r w:rsidRPr="00133645">
        <w:rPr>
          <w:rFonts w:ascii="Arial" w:hAnsi="Arial" w:cs="Arial"/>
        </w:rPr>
        <w:t>Raumtemperatur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3.6 </w:t>
      </w:r>
      <w:proofErr w:type="gramStart"/>
      <w:r w:rsidRPr="00133645">
        <w:rPr>
          <w:rFonts w:ascii="Arial" w:hAnsi="Arial" w:cs="Arial"/>
        </w:rPr>
        <w:t>Lüftung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1 </w:t>
      </w:r>
      <w:proofErr w:type="gramStart"/>
      <w:r w:rsidRPr="00133645">
        <w:rPr>
          <w:rFonts w:ascii="Arial" w:hAnsi="Arial" w:cs="Arial"/>
          <w:b/>
          <w:bCs/>
        </w:rPr>
        <w:t>Allgemeine Anforderungen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Gefährdungsbeurteilung </w:t>
      </w:r>
      <w:proofErr w:type="gramStart"/>
      <w:r w:rsidRPr="00133645">
        <w:rPr>
          <w:rFonts w:ascii="Arial" w:hAnsi="Arial" w:cs="Arial"/>
        </w:rPr>
        <w:t>sind</w:t>
      </w:r>
      <w:proofErr w:type="gramEnd"/>
      <w:r w:rsidRPr="00133645">
        <w:rPr>
          <w:rFonts w:ascii="Arial" w:hAnsi="Arial" w:cs="Arial"/>
        </w:rPr>
        <w:t xml:space="preserve">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jeweils </w:t>
      </w:r>
      <w:proofErr w:type="gramStart"/>
      <w:r w:rsidRPr="00133645">
        <w:rPr>
          <w:rFonts w:ascii="Arial" w:hAnsi="Arial" w:cs="Arial"/>
        </w:rPr>
        <w:t>aktuellen</w:t>
      </w:r>
      <w:proofErr w:type="gramEnd"/>
      <w:r w:rsidRPr="00133645">
        <w:rPr>
          <w:rFonts w:ascii="Arial" w:hAnsi="Arial" w:cs="Arial"/>
        </w:rPr>
        <w:t xml:space="preserve">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auch</w:t>
      </w:r>
      <w:proofErr w:type="gramEnd"/>
      <w:r w:rsidRPr="00133645">
        <w:rPr>
          <w:rFonts w:ascii="Arial" w:hAnsi="Arial" w:cs="Arial"/>
        </w:rPr>
        <w:t xml:space="preserve">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(2) Sie müssen mindestens einen Abgang haben; lange Laderampen müssen, </w:t>
      </w:r>
      <w:proofErr w:type="gramStart"/>
      <w:r w:rsidRPr="00133645">
        <w:rPr>
          <w:rFonts w:ascii="Arial" w:hAnsi="Arial" w:cs="Arial"/>
        </w:rPr>
        <w:t>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</w:t>
      </w:r>
      <w:proofErr w:type="gramEnd"/>
      <w:r w:rsidRPr="00133645">
        <w:rPr>
          <w:rFonts w:ascii="Arial" w:hAnsi="Arial" w:cs="Arial"/>
        </w:rPr>
        <w:t xml:space="preserve">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nach</w:t>
      </w:r>
      <w:proofErr w:type="gramEnd"/>
      <w:r w:rsidRPr="00133645">
        <w:rPr>
          <w:rFonts w:ascii="Arial" w:hAnsi="Arial" w:cs="Arial"/>
        </w:rPr>
        <w:t xml:space="preserve">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mit</w:t>
      </w:r>
      <w:proofErr w:type="gramEnd"/>
      <w:r w:rsidRPr="00133645">
        <w:rPr>
          <w:rFonts w:ascii="Arial" w:hAnsi="Arial" w:cs="Arial"/>
        </w:rPr>
        <w:t xml:space="preserve">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c</w:t>
      </w:r>
      <w:proofErr w:type="gramEnd"/>
      <w:r w:rsidRPr="00133645">
        <w:rPr>
          <w:rFonts w:ascii="Arial" w:hAnsi="Arial" w:cs="Arial"/>
        </w:rPr>
        <w:t>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b</w:t>
      </w:r>
      <w:proofErr w:type="gramEnd"/>
      <w:r w:rsidRPr="00133645">
        <w:rPr>
          <w:rFonts w:ascii="Arial" w:hAnsi="Arial" w:cs="Arial"/>
        </w:rPr>
        <w:t>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3.1 </w:t>
      </w:r>
      <w:proofErr w:type="gramStart"/>
      <w:r w:rsidRPr="00133645">
        <w:rPr>
          <w:rFonts w:ascii="Arial" w:hAnsi="Arial" w:cs="Arial"/>
          <w:b/>
          <w:bCs/>
        </w:rPr>
        <w:t>Bewegungsfläche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3.2 </w:t>
      </w:r>
      <w:proofErr w:type="gramStart"/>
      <w:r w:rsidRPr="00133645">
        <w:rPr>
          <w:rFonts w:ascii="Arial" w:hAnsi="Arial" w:cs="Arial"/>
          <w:b/>
          <w:bCs/>
        </w:rPr>
        <w:t>Anordnung</w:t>
      </w:r>
      <w:proofErr w:type="gramEnd"/>
      <w:r w:rsidRPr="00133645">
        <w:rPr>
          <w:rFonts w:ascii="Arial" w:hAnsi="Arial" w:cs="Arial"/>
          <w:b/>
          <w:bCs/>
        </w:rPr>
        <w:t xml:space="preserve">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durch</w:t>
      </w:r>
      <w:proofErr w:type="gramEnd"/>
      <w:r w:rsidRPr="00133645">
        <w:rPr>
          <w:rFonts w:ascii="Arial" w:hAnsi="Arial" w:cs="Arial"/>
        </w:rPr>
        <w:t xml:space="preserve">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3.3 </w:t>
      </w:r>
      <w:proofErr w:type="gramStart"/>
      <w:r w:rsidRPr="00133645">
        <w:rPr>
          <w:rFonts w:ascii="Arial" w:hAnsi="Arial" w:cs="Arial"/>
          <w:b/>
          <w:bCs/>
        </w:rPr>
        <w:t>Ausstattung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3.5 </w:t>
      </w:r>
      <w:proofErr w:type="gramStart"/>
      <w:r w:rsidRPr="00133645">
        <w:rPr>
          <w:rFonts w:ascii="Arial" w:hAnsi="Arial" w:cs="Arial"/>
          <w:b/>
          <w:bCs/>
        </w:rPr>
        <w:t>Raumtemperatur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3.6 </w:t>
      </w:r>
      <w:proofErr w:type="gramStart"/>
      <w:r w:rsidRPr="00133645">
        <w:rPr>
          <w:rFonts w:ascii="Arial" w:hAnsi="Arial" w:cs="Arial"/>
          <w:b/>
          <w:bCs/>
        </w:rPr>
        <w:t>Lüftung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c</w:t>
      </w:r>
      <w:proofErr w:type="gramEnd"/>
      <w:r w:rsidRPr="00133645">
        <w:rPr>
          <w:rFonts w:ascii="Arial" w:hAnsi="Arial" w:cs="Arial"/>
        </w:rPr>
        <w:t>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 xml:space="preserve">b) </w:t>
      </w:r>
      <w:proofErr w:type="gramStart"/>
      <w:r w:rsidRPr="00133645">
        <w:rPr>
          <w:rFonts w:ascii="Arial" w:hAnsi="Arial" w:cs="Arial"/>
        </w:rPr>
        <w:t>mit</w:t>
      </w:r>
      <w:proofErr w:type="gramEnd"/>
      <w:r w:rsidRPr="00133645">
        <w:rPr>
          <w:rFonts w:ascii="Arial" w:hAnsi="Arial" w:cs="Arial"/>
        </w:rPr>
        <w:t xml:space="preserve">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als</w:t>
      </w:r>
      <w:proofErr w:type="gramEnd"/>
      <w:r w:rsidRPr="00133645">
        <w:rPr>
          <w:rFonts w:ascii="Arial" w:hAnsi="Arial" w:cs="Arial"/>
        </w:rPr>
        <w:t xml:space="preserve">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in</w:t>
      </w:r>
      <w:proofErr w:type="gramEnd"/>
      <w:r w:rsidRPr="00133645">
        <w:rPr>
          <w:rFonts w:ascii="Arial" w:hAnsi="Arial" w:cs="Arial"/>
        </w:rPr>
        <w:t xml:space="preserve">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f</w:t>
      </w:r>
      <w:proofErr w:type="gramEnd"/>
      <w:r w:rsidRPr="00133645">
        <w:rPr>
          <w:rFonts w:ascii="Arial" w:hAnsi="Arial" w:cs="Arial"/>
        </w:rPr>
        <w:t>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überwacht</w:t>
      </w:r>
      <w:proofErr w:type="gramEnd"/>
      <w:r w:rsidRPr="00133645">
        <w:rPr>
          <w:rFonts w:ascii="Arial" w:hAnsi="Arial" w:cs="Arial"/>
        </w:rPr>
        <w:t xml:space="preserve">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e) </w:t>
      </w:r>
      <w:proofErr w:type="gramStart"/>
      <w:r w:rsidRPr="00133645">
        <w:rPr>
          <w:rFonts w:ascii="Arial" w:hAnsi="Arial" w:cs="Arial"/>
        </w:rPr>
        <w:t>bei</w:t>
      </w:r>
      <w:proofErr w:type="gramEnd"/>
      <w:r w:rsidRPr="00133645">
        <w:rPr>
          <w:rFonts w:ascii="Arial" w:hAnsi="Arial" w:cs="Arial"/>
        </w:rPr>
        <w:t xml:space="preserve">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133645"/>
    <w:rsid w:val="0046318C"/>
    <w:rsid w:val="0064366A"/>
    <w:rsid w:val="008F356F"/>
    <w:rsid w:val="00984ED8"/>
    <w:rsid w:val="009C4518"/>
    <w:rsid w:val="00A958EC"/>
    <w:rsid w:val="00B36674"/>
    <w:rsid w:val="00BC5E8B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2016-01-13T07:07:00Z</dcterms:created>
  <dcterms:modified xsi:type="dcterms:W3CDTF">2017-01-19T13:50:00Z</dcterms:modified>
</cp:coreProperties>
</file>